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811" w:right="0" w:firstLine="0"/>
        <w:jc w:val="center"/>
        <w:spacing w:after="0" w:afterAutospacing="0" w:line="240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Проект постановления Правительства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5811" w:right="0" w:firstLine="0"/>
        <w:jc w:val="center"/>
        <w:spacing w:after="0" w:afterAutospacing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Новосибирской области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firstLine="708"/>
        <w:jc w:val="center"/>
        <w:spacing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О Порядке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 проведения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предварительной оценки проектов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по созданию и (или) развитию индустриального (промышленного) парка, агропромышленного парка, бизнес-парка, технопарка, промышленного технопарка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в целях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 включения их в заявку Новосибирской области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на участие в отборе субъектов Российской Федерации для предоставления субсидий из федерального бюджета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 бюджетам субъектов Российской Федерации на государственную поддержку малого и среднего предпринимательства в субъектах Российской Федерации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14:ligatures w14:val="none"/>
        </w:rPr>
      </w:r>
    </w:p>
    <w:p>
      <w:pPr>
        <w:jc w:val="center"/>
        <w:spacing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</w:p>
    <w:p>
      <w:pPr>
        <w:ind w:firstLine="708"/>
        <w:jc w:val="both"/>
        <w:spacing w:after="0" w:afterAutospacing="0" w:line="240" w:lineRule="auto"/>
        <w:rPr>
          <w:rFonts w:ascii="Times New Roman" w:hAnsi="Times New Roman" w:cs="Times New Roman"/>
          <w:bCs w:val="0"/>
          <w:i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bCs w:val="0"/>
          <w:i w:val="0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bCs w:val="0"/>
          <w:i w:val="0"/>
          <w:color w:val="000000" w:themeColor="text1"/>
          <w:sz w:val="28"/>
          <w:szCs w:val="28"/>
          <w:highlight w:val="none"/>
        </w:rPr>
      </w:r>
    </w:p>
    <w:p>
      <w:pPr>
        <w:ind w:firstLine="708"/>
        <w:jc w:val="both"/>
        <w:spacing w:after="0" w:afterAutospacing="0" w:line="240" w:lineRule="auto"/>
        <w:rPr>
          <w:rFonts w:ascii="Times New Roman" w:hAnsi="Times New Roman" w:eastAsia="Times New Roman" w:cs="Times New Roman"/>
          <w:bCs w:val="0"/>
          <w:i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8"/>
          <w:szCs w:val="28"/>
        </w:rPr>
        <w:t xml:space="preserve">В соответствии с пунктом </w:t>
      </w: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8"/>
          <w:szCs w:val="28"/>
        </w:rPr>
        <w:t xml:space="preserve">15 приложения № 48</w:t>
      </w: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8"/>
          <w:szCs w:val="28"/>
        </w:rPr>
        <w:t xml:space="preserve"> «</w:t>
      </w: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8"/>
          <w:szCs w:val="28"/>
        </w:rPr>
        <w:t xml:space="preserve">ра</w:t>
      </w: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8"/>
          <w:szCs w:val="28"/>
        </w:rPr>
        <w:t xml:space="preserve">вила </w:t>
      </w: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8"/>
          <w:szCs w:val="28"/>
        </w:rPr>
        <w:t xml:space="preserve">предоставления и распределения субсидий из федерального бюджета бюджетам субъектов Российской Федерации на государственную поддержку малого и среднего предпринимательства в субъектах Российской Федерации» </w:t>
      </w: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8"/>
          <w:szCs w:val="28"/>
        </w:rPr>
        <w:t xml:space="preserve"> государственной </w:t>
      </w: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8"/>
          <w:szCs w:val="28"/>
        </w:rPr>
        <w:t xml:space="preserve">программе Российской Федерации «Экономическое развитие и инновационная экономика»</w:t>
      </w: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8"/>
          <w:szCs w:val="28"/>
        </w:rPr>
        <w:t xml:space="preserve">утвержденной </w:t>
      </w: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8"/>
          <w:szCs w:val="28"/>
        </w:rPr>
        <w:t xml:space="preserve">постановлением Правительства Российской Федерации от 15.04.2014 № 316 «Об утверждении государственной программы Российской Федерации «Экономическое развитие и инновационная экономика»,</w:t>
      </w: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8"/>
          <w:szCs w:val="28"/>
          <w:highlight w:val="none"/>
        </w:rPr>
        <w:t xml:space="preserve"> Правительство Новосибирской области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8"/>
          <w:szCs w:val="28"/>
          <w:highlight w:val="none"/>
        </w:rPr>
        <w:t xml:space="preserve">п о с т а н о в л я е т</w:t>
      </w: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8"/>
          <w:szCs w:val="28"/>
          <w:highlight w:val="none"/>
        </w:rPr>
        <w:t xml:space="preserve">:</w:t>
      </w:r>
      <w:r>
        <w:rPr>
          <w:rFonts w:ascii="Times New Roman" w:hAnsi="Times New Roman" w:eastAsia="Times New Roman" w:cs="Times New Roman"/>
          <w:bCs w:val="0"/>
          <w:i w:val="0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Cs w:val="0"/>
          <w:i w:val="0"/>
          <w:color w:val="000000" w:themeColor="text1"/>
          <w:sz w:val="28"/>
          <w:szCs w:val="28"/>
          <w:highlight w:val="none"/>
        </w:rPr>
      </w:r>
    </w:p>
    <w:p>
      <w:pPr>
        <w:ind w:firstLine="708"/>
        <w:jc w:val="both"/>
        <w:spacing w:after="0" w:afterAutospacing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Установить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Порядок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 проведения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предварительной оценки проектов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по созданию и (или) развитию индустриального (промышленного) парка, агропромышленного парка, бизнес-парка, технопарка, промышленного технопарка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в целях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 включения их в заявку Новосибирской области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на участие в отборе субъектов Российской Федерации для предоставления субсидий из федерального бюджета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 бюджетам субъектов Российской Федерации на государственную поддержку малого и среднего предпринимательства в субъектах Российской Федерации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согласно приложению к настоящему постановлению.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jc w:val="both"/>
        <w:spacing w:after="0" w:afterAutospacing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>
      <w:pPr>
        <w:jc w:val="both"/>
        <w:spacing w:after="0" w:afterAutospacing="0" w:line="240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jc w:val="both"/>
        <w:spacing w:after="0" w:afterAutospacing="0" w:line="240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jc w:val="both"/>
        <w:spacing w:after="0" w:afterAutospacing="0" w:line="240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Губернатор Новосибирской области</w:t>
        <w:tab/>
        <w:tab/>
        <w:tab/>
        <w:tab/>
        <w:t xml:space="preserve">                 А.А. Травников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jc w:val="both"/>
        <w:spacing w:after="0" w:afterAutospacing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jc w:val="both"/>
        <w:spacing w:after="0" w:afterAutospacing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jc w:val="both"/>
        <w:spacing w:after="0" w:afterAutospacing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</w:rPr>
        <w:t xml:space="preserve">Гончаров А.А.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jc w:val="both"/>
        <w:spacing w:after="0" w:afterAutospacing="0" w:line="240" w:lineRule="auto"/>
        <w:rPr>
          <w:rFonts w:ascii="Times New Roman" w:hAnsi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</w:rPr>
        <w:t xml:space="preserve">238 61 60</w:t>
      </w:r>
      <w:r>
        <w:rPr>
          <w:rFonts w:ascii="Times New Roman" w:hAnsi="Times New Roman" w:cs="Times New Roman"/>
          <w:sz w:val="20"/>
          <w:szCs w:val="20"/>
          <w:highlight w:val="none"/>
        </w:rPr>
        <w:br w:type="page" w:clear="all"/>
      </w:r>
      <w:r>
        <w:rPr>
          <w:rFonts w:ascii="Times New Roman" w:hAnsi="Times New Roman" w:cs="Times New Roman"/>
          <w:sz w:val="20"/>
          <w:szCs w:val="20"/>
          <w:highlight w:val="none"/>
        </w:rPr>
      </w:r>
      <w:r>
        <w:rPr>
          <w:rFonts w:ascii="Times New Roman" w:hAnsi="Times New Roman" w:cs="Times New Roman"/>
          <w:sz w:val="20"/>
          <w:szCs w:val="20"/>
          <w:highlight w:val="none"/>
        </w:rPr>
      </w:r>
    </w:p>
    <w:p>
      <w:pPr>
        <w:jc w:val="both"/>
        <w:spacing w:after="0" w:afterAutospacing="0" w:line="240" w:lineRule="auto"/>
        <w:rPr>
          <w:rFonts w:ascii="Times New Roman" w:hAnsi="Times New Roman" w:cs="Times New Roman"/>
          <w:sz w:val="20"/>
          <w:szCs w:val="20"/>
          <w:highlight w:val="none"/>
        </w:rPr>
      </w:pPr>
      <w:r>
        <w:rPr>
          <w:rFonts w:ascii="Times New Roman" w:hAnsi="Times New Roman" w:cs="Times New Roman"/>
          <w:sz w:val="20"/>
          <w:szCs w:val="20"/>
          <w:highlight w:val="none"/>
        </w:rPr>
      </w:r>
      <w:r>
        <w:rPr>
          <w:rFonts w:ascii="Times New Roman" w:hAnsi="Times New Roman" w:cs="Times New Roman"/>
          <w:sz w:val="20"/>
          <w:szCs w:val="20"/>
          <w:highlight w:val="none"/>
        </w:rPr>
      </w:r>
      <w:r>
        <w:rPr>
          <w:rFonts w:ascii="Times New Roman" w:hAnsi="Times New Roman" w:cs="Times New Roman"/>
          <w:sz w:val="20"/>
          <w:szCs w:val="20"/>
          <w:highlight w:val="none"/>
        </w:rPr>
      </w:r>
    </w:p>
    <w:tbl>
      <w:tblPr>
        <w:tblW w:w="10079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618"/>
        <w:gridCol w:w="2460"/>
      </w:tblGrid>
      <w:tr>
        <w:tblPrEx/>
        <w:trPr/>
        <w:tc>
          <w:tcPr>
            <w:tcW w:w="7618" w:type="dxa"/>
            <w:textDirection w:val="lrTb"/>
            <w:noWrap w:val="false"/>
          </w:tcPr>
          <w:p>
            <w:pPr>
              <w:pStyle w:val="830"/>
              <w:pageBreakBefore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СОГЛАСОВАНО: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Первый Заместитель Председателя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Правительства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460" w:type="dxa"/>
            <w:textDirection w:val="lrTb"/>
            <w:noWrap w:val="false"/>
          </w:tcPr>
          <w:p>
            <w:pPr>
              <w:pStyle w:val="83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В.М. Знатков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«__»_______2025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7618" w:type="dxa"/>
            <w:textDirection w:val="lrTb"/>
            <w:noWrap w:val="false"/>
          </w:tcPr>
          <w:p>
            <w:pPr>
              <w:pStyle w:val="83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Заместитель Губернатора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460" w:type="dxa"/>
            <w:textDirection w:val="lrTb"/>
            <w:noWrap w:val="false"/>
          </w:tcPr>
          <w:p>
            <w:pPr>
              <w:pStyle w:val="83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О.П. Клемешов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«__»_______2025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7618" w:type="dxa"/>
            <w:textDirection w:val="lrTb"/>
            <w:noWrap w:val="false"/>
          </w:tcPr>
          <w:p>
            <w:pPr>
              <w:pStyle w:val="83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Министр юстиции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460" w:type="dxa"/>
            <w:textDirection w:val="lrTb"/>
            <w:noWrap w:val="false"/>
          </w:tcPr>
          <w:p>
            <w:pPr>
              <w:pStyle w:val="83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Т.Н. Деркач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«__»_______2025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7618" w:type="dxa"/>
            <w:textDirection w:val="lrTb"/>
            <w:noWrap w:val="false"/>
          </w:tcPr>
          <w:p>
            <w:pPr>
              <w:pStyle w:val="83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Министр промышленности, торговли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 развития предпринимательства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460" w:type="dxa"/>
            <w:textDirection w:val="lrTb"/>
            <w:noWrap w:val="false"/>
          </w:tcPr>
          <w:p>
            <w:pPr>
              <w:pStyle w:val="830"/>
              <w:ind w:right="-202"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0"/>
              <w:ind w:right="-202"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0"/>
              <w:ind w:right="-202"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0"/>
              <w:ind w:right="-202"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А.А. Гончаров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0"/>
              <w:ind w:right="-202"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«__»_______2025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both"/>
        <w:spacing w:after="0" w:afterAutospacing="0" w:line="240" w:lineRule="auto"/>
        <w:rPr>
          <w:rFonts w:ascii="Times New Roman" w:hAnsi="Times New Roman" w:cs="Times New Roman"/>
          <w:sz w:val="20"/>
          <w:szCs w:val="20"/>
          <w:highlight w:val="none"/>
        </w:rPr>
      </w:pPr>
      <w:r>
        <w:rPr>
          <w:rFonts w:ascii="Times New Roman" w:hAnsi="Times New Roman" w:cs="Times New Roman"/>
          <w:sz w:val="20"/>
          <w:szCs w:val="20"/>
          <w:highlight w:val="none"/>
        </w:rPr>
      </w:r>
      <w:r>
        <w:rPr>
          <w:rFonts w:ascii="Times New Roman" w:hAnsi="Times New Roman" w:cs="Times New Roman"/>
          <w:sz w:val="20"/>
          <w:szCs w:val="20"/>
          <w:highlight w:val="none"/>
        </w:rPr>
      </w:r>
      <w:r>
        <w:rPr>
          <w:rFonts w:ascii="Times New Roman" w:hAnsi="Times New Roman" w:cs="Times New Roman"/>
          <w:sz w:val="20"/>
          <w:szCs w:val="20"/>
          <w:highlight w:val="none"/>
        </w:rPr>
      </w:r>
    </w:p>
    <w:sectPr>
      <w:footnotePr/>
      <w:endnotePr/>
      <w:type w:val="nextPage"/>
      <w:pgSz w:w="11906" w:h="16838" w:orient="portrait"/>
      <w:pgMar w:top="1134" w:right="567" w:bottom="1134" w:left="141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68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  <w:style w:type="paragraph" w:styleId="836" w:customStyle="1">
    <w:name w:val="ConsPlusTitle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Theme="minorEastAsia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7</cp:revision>
  <dcterms:modified xsi:type="dcterms:W3CDTF">2025-04-15T06:30:39Z</dcterms:modified>
</cp:coreProperties>
</file>